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</w:pPr>
    </w:p>
    <w:p w:rsid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</w:pPr>
    </w:p>
    <w:tbl>
      <w:tblPr>
        <w:tblW w:w="10200" w:type="dxa"/>
        <w:jc w:val="center"/>
        <w:tblLayout w:type="fixed"/>
        <w:tblLook w:val="00A0" w:firstRow="1" w:lastRow="0" w:firstColumn="1" w:lastColumn="0" w:noHBand="0" w:noVBand="0"/>
      </w:tblPr>
      <w:tblGrid>
        <w:gridCol w:w="1133"/>
        <w:gridCol w:w="4110"/>
        <w:gridCol w:w="4957"/>
      </w:tblGrid>
      <w:tr w:rsidR="00A60414" w:rsidRPr="00E2653F" w:rsidTr="00413222">
        <w:trPr>
          <w:trHeight w:val="4700"/>
          <w:jc w:val="center"/>
        </w:trPr>
        <w:tc>
          <w:tcPr>
            <w:tcW w:w="1133" w:type="dxa"/>
            <w:hideMark/>
          </w:tcPr>
          <w:p w:rsidR="00A60414" w:rsidRDefault="00A60414" w:rsidP="00FB082E">
            <w:pPr>
              <w:jc w:val="center"/>
            </w:pPr>
            <w:r>
              <w:rPr>
                <w:rFonts w:ascii="Katsoulidis" w:hAnsi="Katsoulidis"/>
                <w:noProof/>
                <w:lang w:eastAsia="el-GR"/>
              </w:rPr>
              <w:drawing>
                <wp:inline distT="0" distB="0" distL="0" distR="0" wp14:anchorId="47490B73" wp14:editId="584921CD">
                  <wp:extent cx="704850" cy="885825"/>
                  <wp:effectExtent l="0" t="0" r="0" b="9525"/>
                  <wp:docPr id="1" name="Picture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7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60414" w:rsidRPr="006A52AE" w:rsidRDefault="00A60414" w:rsidP="00FB082E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8"/>
                <w:w w:val="95"/>
              </w:rPr>
            </w:pPr>
          </w:p>
          <w:p w:rsidR="00A60414" w:rsidRPr="006A52AE" w:rsidRDefault="00A60414" w:rsidP="00FB082E">
            <w:pPr>
              <w:spacing w:line="240" w:lineRule="exact"/>
              <w:rPr>
                <w:rFonts w:ascii="Bookman Old Style" w:hAnsi="Bookman Old Style"/>
                <w:bCs/>
                <w:lang w:val="en-US"/>
              </w:rPr>
            </w:pPr>
            <w:r w:rsidRPr="006A52AE">
              <w:rPr>
                <w:rFonts w:ascii="Bookman Old Style" w:hAnsi="Bookman Old Style"/>
                <w:bCs/>
                <w:lang w:val="en-US"/>
              </w:rPr>
              <w:t>HELLENIC REPUBLIC</w:t>
            </w:r>
          </w:p>
          <w:p w:rsidR="00A60414" w:rsidRPr="006A52AE" w:rsidRDefault="00A60414" w:rsidP="00FB082E">
            <w:pPr>
              <w:spacing w:line="240" w:lineRule="exact"/>
              <w:rPr>
                <w:rFonts w:ascii="Bookman Old Style" w:hAnsi="Bookman Old Style"/>
                <w:b/>
                <w:bCs/>
                <w:lang w:val="en-US"/>
              </w:rPr>
            </w:pPr>
            <w:r w:rsidRPr="006A52AE">
              <w:rPr>
                <w:rFonts w:ascii="Bookman Old Style" w:hAnsi="Bookman Old Style"/>
                <w:b/>
                <w:bCs/>
                <w:lang w:val="en-US"/>
              </w:rPr>
              <w:t>NATIONAL AND KAPODISTRIAN</w:t>
            </w:r>
          </w:p>
          <w:p w:rsidR="00A60414" w:rsidRPr="006A52AE" w:rsidRDefault="00A60414" w:rsidP="00FB082E">
            <w:pPr>
              <w:spacing w:line="240" w:lineRule="exact"/>
              <w:rPr>
                <w:rFonts w:ascii="Bookman Old Style" w:hAnsi="Bookman Old Style"/>
                <w:b/>
                <w:bCs/>
                <w:lang w:val="en-US"/>
              </w:rPr>
            </w:pPr>
            <w:r w:rsidRPr="006A52AE">
              <w:rPr>
                <w:rFonts w:ascii="Bookman Old Style" w:hAnsi="Bookman Old Style"/>
                <w:b/>
                <w:bCs/>
                <w:lang w:val="en-US"/>
              </w:rPr>
              <w:t>UNIVERSITY OF ATHENS</w:t>
            </w:r>
          </w:p>
          <w:p w:rsidR="00A60414" w:rsidRPr="006A52AE" w:rsidRDefault="00A60414" w:rsidP="00FB082E">
            <w:pPr>
              <w:keepNext/>
              <w:spacing w:line="240" w:lineRule="exact"/>
              <w:outlineLvl w:val="1"/>
              <w:rPr>
                <w:rFonts w:ascii="Bookman Old Style" w:hAnsi="Bookman Old Style" w:cs="Arial"/>
                <w:b/>
                <w:bCs/>
                <w:iCs/>
                <w:color w:val="4071AA"/>
                <w:sz w:val="16"/>
                <w:lang w:val="en-US"/>
              </w:rPr>
            </w:pPr>
            <w:r w:rsidRPr="006A52AE">
              <w:rPr>
                <w:rFonts w:ascii="Bookman Old Style" w:hAnsi="Bookman Old Style" w:cs="Arial"/>
                <w:b/>
                <w:bCs/>
                <w:iCs/>
                <w:color w:val="4071AA"/>
                <w:lang w:val="en-US"/>
              </w:rPr>
              <w:t xml:space="preserve">________ </w:t>
            </w:r>
            <w:r w:rsidRPr="006A52AE">
              <w:rPr>
                <w:rFonts w:ascii="Bookman Old Style" w:hAnsi="Bookman Old Style" w:cs="Arial"/>
                <w:b/>
                <w:bCs/>
                <w:iCs/>
                <w:color w:val="4071AA"/>
                <w:sz w:val="16"/>
                <w:lang w:val="en-US"/>
              </w:rPr>
              <w:t>EST 1837 ____________</w:t>
            </w:r>
          </w:p>
          <w:p w:rsidR="00A60414" w:rsidRPr="006A52AE" w:rsidRDefault="00A60414" w:rsidP="00FB082E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8"/>
                <w:w w:val="95"/>
                <w:lang w:val="en-US"/>
              </w:rPr>
            </w:pPr>
          </w:p>
          <w:p w:rsidR="00A60414" w:rsidRPr="006A52AE" w:rsidRDefault="00A60414" w:rsidP="00FB082E">
            <w:pPr>
              <w:pStyle w:val="3"/>
              <w:spacing w:before="0" w:after="0" w:line="240" w:lineRule="exact"/>
              <w:rPr>
                <w:rFonts w:ascii="Bookman Old Style" w:eastAsia="Katsoulidis" w:hAnsi="Bookman Old Style" w:cs="Katsoulidis"/>
                <w:bCs w:val="0"/>
                <w:color w:val="000000"/>
                <w:spacing w:val="7"/>
                <w:sz w:val="20"/>
                <w:szCs w:val="22"/>
                <w:bdr w:val="none" w:sz="0" w:space="0" w:color="auto" w:frame="1"/>
              </w:rPr>
            </w:pPr>
            <w:r w:rsidRPr="006A52AE">
              <w:rPr>
                <w:rFonts w:ascii="Bookman Old Style" w:eastAsia="Katsoulidis" w:hAnsi="Bookman Old Style" w:cs="Katsoulidis"/>
                <w:bCs w:val="0"/>
                <w:color w:val="000000"/>
                <w:spacing w:val="7"/>
                <w:sz w:val="20"/>
                <w:szCs w:val="22"/>
                <w:bdr w:val="none" w:sz="0" w:space="0" w:color="auto" w:frame="1"/>
              </w:rPr>
              <w:t>SCHOOL OF HEALTH SCIENCES</w:t>
            </w:r>
          </w:p>
          <w:p w:rsidR="00A60414" w:rsidRPr="006A52AE" w:rsidRDefault="00A60414" w:rsidP="00FB082E">
            <w:pPr>
              <w:pStyle w:val="3"/>
              <w:spacing w:before="0" w:after="0" w:line="240" w:lineRule="exact"/>
              <w:rPr>
                <w:rFonts w:ascii="Bookman Old Style" w:eastAsia="Katsoulidis" w:hAnsi="Bookman Old Style" w:cs="Katsoulidis"/>
                <w:bCs w:val="0"/>
                <w:color w:val="000000"/>
                <w:spacing w:val="7"/>
                <w:sz w:val="20"/>
                <w:szCs w:val="22"/>
                <w:bdr w:val="none" w:sz="0" w:space="0" w:color="auto" w:frame="1"/>
              </w:rPr>
            </w:pPr>
            <w:r w:rsidRPr="006A52AE">
              <w:rPr>
                <w:rFonts w:ascii="Bookman Old Style" w:eastAsia="Katsoulidis" w:hAnsi="Bookman Old Style" w:cs="Katsoulidis"/>
                <w:bCs w:val="0"/>
                <w:color w:val="000000"/>
                <w:spacing w:val="7"/>
                <w:sz w:val="20"/>
                <w:szCs w:val="22"/>
                <w:bdr w:val="none" w:sz="0" w:space="0" w:color="auto" w:frame="1"/>
              </w:rPr>
              <w:t>DEPARTMENT OF PHARMACY</w:t>
            </w:r>
          </w:p>
          <w:p w:rsidR="00A60414" w:rsidRPr="00A60414" w:rsidRDefault="00A60414" w:rsidP="00FB082E">
            <w:pPr>
              <w:keepNext/>
              <w:spacing w:line="240" w:lineRule="exact"/>
              <w:ind w:right="-91"/>
              <w:outlineLvl w:val="2"/>
              <w:rPr>
                <w:rFonts w:ascii="Bookman Old Style" w:eastAsia="Katsoulidis" w:hAnsi="Bookman Old Style" w:cs="Katsoulidis"/>
                <w:color w:val="000000"/>
                <w:sz w:val="16"/>
                <w:szCs w:val="18"/>
                <w:bdr w:val="none" w:sz="0" w:space="0" w:color="auto" w:frame="1"/>
                <w:lang w:val="en-US"/>
              </w:rPr>
            </w:pPr>
            <w:r w:rsidRPr="00A60414">
              <w:rPr>
                <w:rFonts w:ascii="Bookman Old Style" w:eastAsia="Katsoulidis" w:hAnsi="Bookman Old Style" w:cs="Katsoulidis"/>
                <w:color w:val="000000"/>
                <w:sz w:val="16"/>
                <w:szCs w:val="18"/>
                <w:bdr w:val="none" w:sz="0" w:space="0" w:color="auto" w:frame="1"/>
                <w:lang w:val="en-US"/>
              </w:rPr>
              <w:t>SECTION OF PHARMACEUTICAL TECHNOLOGY</w:t>
            </w:r>
          </w:p>
          <w:p w:rsidR="00A60414" w:rsidRPr="009560A9" w:rsidRDefault="00A60414" w:rsidP="00FB082E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w w:val="95"/>
                <w:sz w:val="20"/>
                <w:lang w:val="en-US"/>
              </w:rPr>
            </w:pPr>
            <w:r w:rsidRPr="00A60414">
              <w:rPr>
                <w:rFonts w:ascii="Bookman Old Style" w:eastAsia="Katsoulidis" w:hAnsi="Bookman Old Style" w:cs="Katsoulidis"/>
                <w:color w:val="000000"/>
                <w:sz w:val="16"/>
                <w:szCs w:val="18"/>
                <w:bdr w:val="none" w:sz="0" w:space="0" w:color="auto" w:frame="1"/>
                <w:lang w:val="en-US"/>
              </w:rPr>
              <w:t xml:space="preserve">Laboratory of </w:t>
            </w:r>
            <w:proofErr w:type="spellStart"/>
            <w:r w:rsidRPr="00A60414">
              <w:rPr>
                <w:rFonts w:ascii="Bookman Old Style" w:eastAsia="Katsoulidis" w:hAnsi="Bookman Old Style" w:cs="Katsoulidis"/>
                <w:color w:val="000000"/>
                <w:sz w:val="16"/>
                <w:szCs w:val="18"/>
                <w:bdr w:val="none" w:sz="0" w:space="0" w:color="auto" w:frame="1"/>
                <w:lang w:val="en-US"/>
              </w:rPr>
              <w:t>Biopharmaceutics</w:t>
            </w:r>
            <w:proofErr w:type="spellEnd"/>
            <w:r w:rsidRPr="00A60414">
              <w:rPr>
                <w:rFonts w:ascii="Bookman Old Style" w:eastAsia="Katsoulidis" w:hAnsi="Bookman Old Style" w:cs="Katsoulidis"/>
                <w:color w:val="000000"/>
                <w:sz w:val="16"/>
                <w:szCs w:val="18"/>
                <w:bdr w:val="none" w:sz="0" w:space="0" w:color="auto" w:frame="1"/>
                <w:lang w:val="en-US"/>
              </w:rPr>
              <w:t xml:space="preserve"> &amp; Pharmacokinetics</w:t>
            </w:r>
          </w:p>
          <w:p w:rsidR="00A60414" w:rsidRPr="009560A9" w:rsidRDefault="00A60414" w:rsidP="00FB082E">
            <w:pPr>
              <w:spacing w:line="240" w:lineRule="exact"/>
              <w:ind w:right="-91"/>
              <w:rPr>
                <w:rFonts w:ascii="Bookman Old Style" w:hAnsi="Bookman Old Style"/>
                <w:bCs/>
                <w:lang w:val="en-US"/>
              </w:rPr>
            </w:pPr>
          </w:p>
        </w:tc>
        <w:tc>
          <w:tcPr>
            <w:tcW w:w="4957" w:type="dxa"/>
          </w:tcPr>
          <w:p w:rsidR="00A60414" w:rsidRPr="006A52AE" w:rsidRDefault="00A60414" w:rsidP="00FB082E">
            <w:pPr>
              <w:keepNext/>
              <w:spacing w:line="240" w:lineRule="exact"/>
              <w:ind w:right="-91"/>
              <w:outlineLvl w:val="2"/>
              <w:rPr>
                <w:rFonts w:ascii="Bookman Old Style" w:hAnsi="Bookman Old Style" w:cs="Arial"/>
                <w:bCs/>
                <w:spacing w:val="8"/>
                <w:w w:val="95"/>
                <w:lang w:val="en-US"/>
              </w:rPr>
            </w:pPr>
          </w:p>
          <w:p w:rsidR="00A60414" w:rsidRPr="006A52AE" w:rsidRDefault="00A60414" w:rsidP="00FB082E">
            <w:pPr>
              <w:spacing w:line="240" w:lineRule="exact"/>
              <w:rPr>
                <w:rFonts w:ascii="Bookman Old Style" w:hAnsi="Bookman Old Style" w:cs="Times New Roman"/>
                <w:sz w:val="20"/>
                <w:szCs w:val="18"/>
                <w:lang w:val="en-US"/>
              </w:rPr>
            </w:pPr>
            <w:proofErr w:type="spellStart"/>
            <w:r w:rsidRPr="00A60414">
              <w:rPr>
                <w:rFonts w:ascii="Bookman Old Style" w:hAnsi="Bookman Old Style"/>
                <w:szCs w:val="18"/>
                <w:lang w:val="en-US"/>
              </w:rPr>
              <w:t>Panepistimiopolis</w:t>
            </w:r>
            <w:proofErr w:type="spellEnd"/>
            <w:r w:rsidRPr="00A60414">
              <w:rPr>
                <w:rFonts w:ascii="Bookman Old Style" w:hAnsi="Bookman Old Style"/>
                <w:szCs w:val="18"/>
                <w:lang w:val="en-US"/>
              </w:rPr>
              <w:t xml:space="preserve">, </w:t>
            </w:r>
            <w:proofErr w:type="spellStart"/>
            <w:r w:rsidRPr="00A60414">
              <w:rPr>
                <w:rFonts w:ascii="Bookman Old Style" w:hAnsi="Bookman Old Style"/>
                <w:szCs w:val="18"/>
                <w:lang w:val="en-US"/>
              </w:rPr>
              <w:t>Zographou</w:t>
            </w:r>
            <w:proofErr w:type="spellEnd"/>
            <w:r w:rsidRPr="00A60414">
              <w:rPr>
                <w:rFonts w:ascii="Bookman Old Style" w:hAnsi="Bookman Old Style"/>
                <w:szCs w:val="18"/>
                <w:lang w:val="en-US"/>
              </w:rPr>
              <w:t xml:space="preserve"> 157 84</w:t>
            </w:r>
          </w:p>
          <w:p w:rsidR="00A60414" w:rsidRPr="00A60414" w:rsidRDefault="00A60414" w:rsidP="00FB082E">
            <w:pPr>
              <w:spacing w:line="240" w:lineRule="exact"/>
              <w:rPr>
                <w:rFonts w:ascii="Bookman Old Style" w:hAnsi="Bookman Old Style"/>
                <w:szCs w:val="18"/>
                <w:lang w:val="en-US"/>
              </w:rPr>
            </w:pPr>
            <w:r w:rsidRPr="00A60414">
              <w:rPr>
                <w:rFonts w:ascii="Bookman Old Style" w:hAnsi="Bookman Old Style"/>
                <w:szCs w:val="18"/>
                <w:lang w:val="en-US"/>
              </w:rPr>
              <w:t>Athens, Hellas</w:t>
            </w:r>
          </w:p>
          <w:p w:rsidR="00A60414" w:rsidRPr="00A60414" w:rsidRDefault="00A60414" w:rsidP="00FB082E">
            <w:pPr>
              <w:spacing w:line="240" w:lineRule="exact"/>
              <w:rPr>
                <w:rFonts w:ascii="Bookman Old Style" w:hAnsi="Bookman Old Style"/>
                <w:szCs w:val="18"/>
                <w:lang w:val="en-US"/>
              </w:rPr>
            </w:pPr>
          </w:p>
          <w:p w:rsidR="00A60414" w:rsidRPr="00A60414" w:rsidRDefault="00A60414" w:rsidP="00FB082E">
            <w:pPr>
              <w:spacing w:line="240" w:lineRule="exact"/>
              <w:rPr>
                <w:rFonts w:ascii="Bookman Old Style" w:hAnsi="Bookman Old Style"/>
                <w:b/>
                <w:szCs w:val="18"/>
                <w:lang w:val="en-US"/>
              </w:rPr>
            </w:pPr>
            <w:proofErr w:type="spellStart"/>
            <w:r w:rsidRPr="00A60414">
              <w:rPr>
                <w:rFonts w:ascii="Bookman Old Style" w:hAnsi="Bookman Old Style"/>
                <w:b/>
                <w:szCs w:val="18"/>
                <w:lang w:val="en-US"/>
              </w:rPr>
              <w:t>Panos</w:t>
            </w:r>
            <w:proofErr w:type="spellEnd"/>
            <w:r w:rsidRPr="00A60414">
              <w:rPr>
                <w:rFonts w:ascii="Bookman Old Style" w:hAnsi="Bookman Old Style"/>
                <w:b/>
                <w:szCs w:val="18"/>
                <w:lang w:val="en-US"/>
              </w:rPr>
              <w:t xml:space="preserve"> </w:t>
            </w:r>
            <w:proofErr w:type="spellStart"/>
            <w:r w:rsidRPr="00A60414">
              <w:rPr>
                <w:rFonts w:ascii="Bookman Old Style" w:hAnsi="Bookman Old Style"/>
                <w:b/>
                <w:szCs w:val="18"/>
                <w:lang w:val="en-US"/>
              </w:rPr>
              <w:t>Macheras</w:t>
            </w:r>
            <w:proofErr w:type="spellEnd"/>
            <w:r w:rsidRPr="00A60414">
              <w:rPr>
                <w:rFonts w:ascii="Bookman Old Style" w:hAnsi="Bookman Old Style"/>
                <w:b/>
                <w:szCs w:val="18"/>
                <w:lang w:val="en-US"/>
              </w:rPr>
              <w:t xml:space="preserve">, Professor Emeritus </w:t>
            </w:r>
          </w:p>
          <w:p w:rsidR="00A60414" w:rsidRPr="006A52AE" w:rsidRDefault="00A60414" w:rsidP="00FB082E">
            <w:pPr>
              <w:pStyle w:val="4"/>
              <w:tabs>
                <w:tab w:val="left" w:pos="1028"/>
              </w:tabs>
              <w:spacing w:before="0" w:after="0" w:line="240" w:lineRule="exact"/>
              <w:rPr>
                <w:rFonts w:ascii="Bookman Old Style" w:hAnsi="Bookman Old Style"/>
                <w:b w:val="0"/>
                <w:sz w:val="20"/>
                <w:szCs w:val="18"/>
              </w:rPr>
            </w:pPr>
            <w:r w:rsidRPr="006A52AE">
              <w:rPr>
                <w:rFonts w:ascii="Bookman Old Style" w:hAnsi="Bookman Old Style"/>
                <w:b w:val="0"/>
                <w:bCs w:val="0"/>
                <w:sz w:val="20"/>
                <w:szCs w:val="18"/>
                <w:lang w:val="el-GR"/>
              </w:rPr>
              <w:t>Τ</w:t>
            </w:r>
            <w:r w:rsidRPr="006A52AE">
              <w:rPr>
                <w:rFonts w:ascii="Bookman Old Style" w:hAnsi="Bookman Old Style"/>
                <w:b w:val="0"/>
                <w:bCs w:val="0"/>
                <w:sz w:val="20"/>
                <w:szCs w:val="18"/>
              </w:rPr>
              <w:t>el</w:t>
            </w:r>
            <w:r>
              <w:rPr>
                <w:rFonts w:ascii="Bookman Old Style" w:hAnsi="Bookman Old Style"/>
                <w:b w:val="0"/>
                <w:bCs w:val="0"/>
                <w:sz w:val="20"/>
                <w:szCs w:val="18"/>
                <w:lang w:val="it-IT"/>
              </w:rPr>
              <w:t>.:</w:t>
            </w:r>
            <w:r>
              <w:rPr>
                <w:sz w:val="24"/>
                <w:szCs w:val="24"/>
                <w:lang w:val="en-US"/>
              </w:rPr>
              <w:tab/>
            </w:r>
            <w:r w:rsidRPr="006A52AE">
              <w:rPr>
                <w:rFonts w:ascii="Bookman Old Style" w:hAnsi="Bookman Old Style"/>
                <w:b w:val="0"/>
                <w:bCs w:val="0"/>
                <w:sz w:val="20"/>
                <w:szCs w:val="18"/>
                <w:lang w:val="it-IT"/>
              </w:rPr>
              <w:t>210 727 4</w:t>
            </w:r>
            <w:r w:rsidRPr="006A52AE">
              <w:rPr>
                <w:rFonts w:ascii="Bookman Old Style" w:hAnsi="Bookman Old Style"/>
                <w:b w:val="0"/>
                <w:bCs w:val="0"/>
                <w:sz w:val="20"/>
                <w:szCs w:val="18"/>
              </w:rPr>
              <w:t>026</w:t>
            </w:r>
          </w:p>
          <w:p w:rsidR="00A60414" w:rsidRDefault="00A60414" w:rsidP="00FB082E">
            <w:pPr>
              <w:tabs>
                <w:tab w:val="left" w:pos="1028"/>
              </w:tabs>
              <w:spacing w:line="240" w:lineRule="exact"/>
              <w:rPr>
                <w:rFonts w:ascii="Bookman Old Style" w:hAnsi="Bookman Old Style"/>
                <w:szCs w:val="18"/>
                <w:lang w:val="it-IT"/>
              </w:rPr>
            </w:pPr>
            <w:r w:rsidRPr="006A52AE">
              <w:rPr>
                <w:rFonts w:ascii="Bookman Old Style" w:hAnsi="Bookman Old Style"/>
                <w:szCs w:val="18"/>
                <w:lang w:val="it-IT"/>
              </w:rPr>
              <w:t>Fax: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A52AE">
              <w:rPr>
                <w:rFonts w:ascii="Bookman Old Style" w:hAnsi="Bookman Old Style"/>
                <w:szCs w:val="18"/>
                <w:lang w:val="it-IT"/>
              </w:rPr>
              <w:t>210 727 4027</w:t>
            </w:r>
          </w:p>
          <w:p w:rsidR="00A60414" w:rsidRPr="006A52AE" w:rsidRDefault="00A60414" w:rsidP="00FB082E">
            <w:pPr>
              <w:tabs>
                <w:tab w:val="left" w:pos="1028"/>
              </w:tabs>
              <w:spacing w:line="240" w:lineRule="exact"/>
              <w:rPr>
                <w:rFonts w:ascii="Bookman Old Style" w:hAnsi="Bookman Old Style"/>
                <w:sz w:val="20"/>
                <w:szCs w:val="18"/>
                <w:lang w:val="it-IT"/>
              </w:rPr>
            </w:pPr>
            <w:r>
              <w:rPr>
                <w:rFonts w:ascii="Bookman Old Style" w:hAnsi="Bookman Old Style"/>
                <w:szCs w:val="18"/>
                <w:lang w:val="it-IT"/>
              </w:rPr>
              <w:t xml:space="preserve">Mobile: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Bookman Old Style" w:hAnsi="Bookman Old Style"/>
                <w:szCs w:val="18"/>
                <w:lang w:val="it-IT"/>
              </w:rPr>
              <w:t>694-695-2109</w:t>
            </w:r>
          </w:p>
          <w:p w:rsidR="00A60414" w:rsidRPr="00096715" w:rsidRDefault="00A60414" w:rsidP="00FB082E">
            <w:pPr>
              <w:tabs>
                <w:tab w:val="left" w:pos="1049"/>
              </w:tabs>
              <w:ind w:right="-518"/>
              <w:jc w:val="both"/>
              <w:rPr>
                <w:rFonts w:ascii="Bookman Old Style" w:hAnsi="Bookman Old Style"/>
                <w:szCs w:val="28"/>
                <w:lang w:val="it-IT"/>
              </w:rPr>
            </w:pPr>
            <w:r>
              <w:rPr>
                <w:rFonts w:ascii="Bookman Old Style" w:hAnsi="Bookman Old Style"/>
                <w:szCs w:val="18"/>
                <w:lang w:val="it-IT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hyperlink r:id="rId7" w:history="1">
              <w:r w:rsidRPr="006A52AE">
                <w:rPr>
                  <w:rStyle w:val="-"/>
                  <w:rFonts w:ascii="Bookman Old Style" w:hAnsi="Bookman Old Style"/>
                  <w:color w:val="000000"/>
                  <w:szCs w:val="18"/>
                  <w:lang w:val="pt-BR"/>
                </w:rPr>
                <w:t>macheras</w:t>
              </w:r>
              <w:r w:rsidRPr="006A52AE">
                <w:rPr>
                  <w:rStyle w:val="-"/>
                  <w:rFonts w:ascii="Bookman Old Style" w:hAnsi="Bookman Old Style"/>
                  <w:color w:val="000000"/>
                  <w:szCs w:val="18"/>
                  <w:lang w:val="it-IT"/>
                </w:rPr>
                <w:t>@pharm.uoa.gr</w:t>
              </w:r>
            </w:hyperlink>
          </w:p>
          <w:p w:rsidR="00A60414" w:rsidRPr="00096715" w:rsidRDefault="00A60414" w:rsidP="00FB082E">
            <w:pPr>
              <w:spacing w:line="240" w:lineRule="exact"/>
              <w:ind w:right="-91"/>
              <w:rPr>
                <w:rFonts w:ascii="Bookman Old Style" w:hAnsi="Bookman Old Style"/>
                <w:lang w:val="it-IT"/>
              </w:rPr>
            </w:pPr>
          </w:p>
          <w:p w:rsidR="00A60414" w:rsidRPr="00096715" w:rsidRDefault="00A60414" w:rsidP="00FB082E">
            <w:pPr>
              <w:spacing w:line="240" w:lineRule="exact"/>
              <w:ind w:right="-91"/>
              <w:rPr>
                <w:rFonts w:ascii="Bookman Old Style" w:hAnsi="Bookman Old Style"/>
                <w:lang w:val="it-IT"/>
              </w:rPr>
            </w:pPr>
          </w:p>
          <w:p w:rsidR="00A60414" w:rsidRPr="00096715" w:rsidRDefault="00A60414" w:rsidP="00FB082E">
            <w:pPr>
              <w:spacing w:line="240" w:lineRule="exact"/>
              <w:ind w:right="-91"/>
              <w:rPr>
                <w:rFonts w:ascii="Bookman Old Style" w:hAnsi="Bookman Old Style"/>
                <w:lang w:val="it-IT"/>
              </w:rPr>
            </w:pPr>
          </w:p>
          <w:p w:rsidR="00A60414" w:rsidRPr="006A52AE" w:rsidRDefault="00A60414" w:rsidP="00FB082E">
            <w:pPr>
              <w:spacing w:line="240" w:lineRule="exact"/>
              <w:ind w:right="-91"/>
              <w:rPr>
                <w:rFonts w:ascii="Bookman Old Style" w:hAnsi="Bookman Old Style"/>
                <w:lang w:val="en-US"/>
              </w:rPr>
            </w:pPr>
          </w:p>
        </w:tc>
      </w:tr>
    </w:tbl>
    <w:p w:rsidR="00A60414" w:rsidRDefault="00A60414" w:rsidP="00A604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</w:pP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Αγαπητοί  φοιτητές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Στα πλαίσια του ερευνητικού μου έργου 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που εκπονώ στο ΕΚΠΑ και στη Μονάδα </w:t>
      </w:r>
      <w:proofErr w:type="spellStart"/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Φαρμακοπληροφορικής</w:t>
      </w:r>
      <w:proofErr w:type="spellEnd"/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του Ερευνητικού </w:t>
      </w:r>
      <w:proofErr w:type="spellStart"/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Κεντρου</w:t>
      </w:r>
      <w:proofErr w:type="spellEnd"/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ΑΤΗΕΝΑ 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ανέπτυξα </w:t>
      </w:r>
      <w:r w:rsidR="00413222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με την ερευνητική μου ομάδα 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την αρχή του πεπερασμένου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="00413222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χρόνου απορρόφησης (</w:t>
      </w:r>
      <w:proofErr w:type="spellStart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Finite</w:t>
      </w:r>
      <w:proofErr w:type="spellEnd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proofErr w:type="spellStart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Absorption</w:t>
      </w:r>
      <w:proofErr w:type="spellEnd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proofErr w:type="spellStart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Time</w:t>
      </w:r>
      <w:proofErr w:type="spellEnd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, FAT) των φαρμάκων.  Αυτό με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οδήγησε στην ανάπτυξη νέων μοντέλων απορρόφησης και στην αναθεώρηση πολλών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αντιλήψεων σε θέματα βιοδιαθεσιμότητας-</w:t>
      </w:r>
      <w:proofErr w:type="spellStart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βιοϊσοδυναμίας</w:t>
      </w:r>
      <w:proofErr w:type="spellEnd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, </w:t>
      </w:r>
      <w:proofErr w:type="spellStart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βιοαπαλλαγής</w:t>
      </w:r>
      <w:proofErr w:type="spellEnd"/>
      <w:r w:rsidR="00413222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="00E2653F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(</w:t>
      </w:r>
      <w:proofErr w:type="spellStart"/>
      <w:r w:rsidR="00E2653F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Biowaiver</w:t>
      </w:r>
      <w:proofErr w:type="spellEnd"/>
      <w:r w:rsidR="00E2653F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) και IVIVC. Παραθέ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τω κατάλογο σχετικών δημοσιεύσεων.</w:t>
      </w: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Στα πλαίσια αυτά οργανώνω το δορυφορικό σεμινάριο του 30th PAGE </w:t>
      </w:r>
      <w:proofErr w:type="spellStart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meeting</w:t>
      </w:r>
      <w:proofErr w:type="spellEnd"/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</w:pP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  <w:t>(Welcome to the Population Approach Group in Europe (page-meeting.org):</w:t>
      </w: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</w:pP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  <w:t xml:space="preserve"> FROM PBPK TO PBFTPK (PHYSIOLOGICALLY BASED FINITE TIME PHARMACOKINETIC)</w:t>
      </w:r>
      <w:r w:rsidR="004D0109" w:rsidRPr="004D0109"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  <w:t xml:space="preserve"> 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  <w:t>MODELS</w:t>
      </w: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</w:pP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  <w:t>Congress Centre, Ljubljana, Slovenia, 28th June 2022, 9.00 pm (CET)</w:t>
      </w:r>
    </w:p>
    <w:p w:rsidR="00A60414" w:rsidRPr="00A60414" w:rsidRDefault="004D0109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Το σεμινάριο μπορείτε ν</w:t>
      </w:r>
      <w:r w:rsidR="00413222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α το παρακολουθήσετε ηλεκτρονικά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. </w:t>
      </w:r>
      <w:r w:rsidR="00A60414"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Το πρόγραμμα του σεμιναρίου μπορείτε  να το δείτε εδώ</w:t>
      </w: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</w:pP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  <w:t>Microsoft Word - PAGE_Sat-Slovenia-28June.docx (page-meeting.org)</w:t>
      </w: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</w:pPr>
    </w:p>
    <w:p w:rsidR="00A60414" w:rsidRPr="00A60414" w:rsidRDefault="004D0109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κ</w:t>
      </w:r>
      <w:r w:rsid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αι να εγγραφείτε επιλέγοντας τη</w:t>
      </w:r>
      <w:r w:rsidR="00A60414"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proofErr w:type="spellStart"/>
      <w:r w:rsidR="00A60414"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virtual</w:t>
      </w:r>
      <w:proofErr w:type="spellEnd"/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φοιτητική</w:t>
      </w:r>
      <w:r w:rsidR="00A60414"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εγγραφή εδώ</w:t>
      </w: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</w:pP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  <w:t>Register - Contact Details (eventsair.com)</w:t>
      </w: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proofErr w:type="spellStart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Οσοι</w:t>
      </w:r>
      <w:proofErr w:type="spellEnd"/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="004D0109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από εσάς επιθυμούν να συζητήσουν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μ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αζί μου ερευνητική 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συνεργασία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ή θέματα μελλοντικών σας σπουδών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, μπορείτε να έρθετε χωρίς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προηγούμενη συνεννόηση το πρωί της 6ης Ιουλίου 9-12 στο γραφείο μου στο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πανεπιστήμιο. </w:t>
      </w:r>
      <w:proofErr w:type="spellStart"/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Οσοι</w:t>
      </w:r>
      <w:proofErr w:type="spellEnd"/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από εσά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ς 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lastRenderedPageBreak/>
        <w:t>αδυνατείτε να έρθετε την 6η Ιουλίου αλλά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θέλετε να  συναντηθούμε παρακαλώ τηλεφωνείστε μου (694-695-2109) στις 4 ή</w:t>
      </w: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 </w:t>
      </w:r>
      <w:r w:rsidR="004D0109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5 Ιουλίου</w:t>
      </w: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.</w:t>
      </w: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Σας ευχαριστώ πολύ</w:t>
      </w: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Π. Μαχαίρας</w:t>
      </w:r>
    </w:p>
    <w:p w:rsidR="00A60414" w:rsidRPr="00A60414" w:rsidRDefault="00A60414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Ομότιμος Καθηγητής ΕΚΠΑ</w:t>
      </w:r>
    </w:p>
    <w:p w:rsidR="00A60414" w:rsidRPr="00A60414" w:rsidRDefault="00E2653F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ΥΓ. Ενημερωθείτε για το συνέ</w:t>
      </w:r>
      <w:r w:rsidR="00A60414"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δριο </w:t>
      </w:r>
      <w:r w:rsidR="00413222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Βιοδιαθεσιμότητας-</w:t>
      </w:r>
      <w:proofErr w:type="spellStart"/>
      <w:r w:rsidR="00413222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Βιοϊσοδυναμίας</w:t>
      </w:r>
      <w:proofErr w:type="spellEnd"/>
      <w:r w:rsidR="00413222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 xml:space="preserve">, </w:t>
      </w:r>
      <w:r w:rsidR="00A60414" w:rsidRPr="00A60414"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  <w:t>3,4  Οκτωβρίου στην Αθήνα</w:t>
      </w:r>
    </w:p>
    <w:p w:rsidR="00A60414" w:rsidRPr="00E2653F" w:rsidRDefault="00E2653F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1B0"/>
          <w:sz w:val="24"/>
          <w:szCs w:val="24"/>
          <w:lang w:eastAsia="el-GR"/>
        </w:rPr>
      </w:pPr>
      <w:hyperlink r:id="rId8" w:tgtFrame="_blank" w:history="1">
        <w:r w:rsidR="00A60414" w:rsidRPr="00A60414">
          <w:rPr>
            <w:rFonts w:ascii="Times New Roman" w:eastAsia="Times New Roman" w:hAnsi="Times New Roman" w:cs="Times New Roman"/>
            <w:color w:val="0071B0"/>
            <w:sz w:val="24"/>
            <w:szCs w:val="24"/>
            <w:lang w:eastAsia="el-GR"/>
          </w:rPr>
          <w:t>https://mailchi.mp/afea/16-22-24-2019-save-the-date-264381</w:t>
        </w:r>
      </w:hyperlink>
    </w:p>
    <w:p w:rsidR="00413222" w:rsidRPr="00E2653F" w:rsidRDefault="00413222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1B0"/>
          <w:sz w:val="24"/>
          <w:szCs w:val="24"/>
          <w:lang w:eastAsia="el-GR"/>
        </w:rPr>
      </w:pPr>
    </w:p>
    <w:p w:rsidR="00413222" w:rsidRDefault="00413222" w:rsidP="00413222">
      <w:pPr>
        <w:pStyle w:val="Title1"/>
        <w:numPr>
          <w:ilvl w:val="0"/>
          <w:numId w:val="1"/>
        </w:numPr>
        <w:spacing w:before="0" w:beforeAutospacing="0" w:after="240" w:afterAutospacing="0"/>
        <w:ind w:left="540" w:hanging="540"/>
        <w:jc w:val="both"/>
        <w:rPr>
          <w:rStyle w:val="-"/>
          <w:color w:val="000000" w:themeColor="text1"/>
        </w:rPr>
      </w:pPr>
      <w:r>
        <w:t>P MACHERAS. On an unphysical hypothesis of Bateman equation and its implications for pharmacokinetics.</w:t>
      </w:r>
      <w:r>
        <w:rPr>
          <w:i/>
        </w:rPr>
        <w:t xml:space="preserve"> Pharmaceutical Research.</w:t>
      </w:r>
      <w:r>
        <w:t xml:space="preserve"> (2019) 36:94 </w:t>
      </w:r>
      <w:hyperlink r:id="rId9" w:history="1">
        <w:r>
          <w:rPr>
            <w:rStyle w:val="-"/>
          </w:rPr>
          <w:t>https://doi.org/10.1007/s11095-019-2633-4</w:t>
        </w:r>
      </w:hyperlink>
    </w:p>
    <w:p w:rsidR="00413222" w:rsidRDefault="00413222" w:rsidP="00413222">
      <w:pPr>
        <w:pStyle w:val="Title1"/>
        <w:numPr>
          <w:ilvl w:val="0"/>
          <w:numId w:val="1"/>
        </w:numPr>
        <w:spacing w:before="0" w:beforeAutospacing="0" w:after="240" w:afterAutospacing="0"/>
        <w:ind w:left="540" w:hanging="540"/>
        <w:jc w:val="both"/>
        <w:rPr>
          <w:rStyle w:val="-"/>
          <w:color w:val="000000" w:themeColor="text1"/>
        </w:rPr>
      </w:pPr>
      <w:r>
        <w:t xml:space="preserve">P. MACHERAS, P. CHRYSSAFIDIS. </w:t>
      </w:r>
      <w:r>
        <w:rPr>
          <w:color w:val="333333"/>
          <w:shd w:val="clear" w:color="auto" w:fill="FCFCFC"/>
        </w:rPr>
        <w:t xml:space="preserve">Revising Pharmacokinetics of Oral Drug Absorption: I Models Based on Biopharmaceutical/Physiological and Finite Absorption Time Concepts. </w:t>
      </w:r>
      <w:r>
        <w:rPr>
          <w:i/>
          <w:iCs/>
          <w:color w:val="333333"/>
          <w:shd w:val="clear" w:color="auto" w:fill="FCFCFC"/>
        </w:rPr>
        <w:t>Pharm Res</w:t>
      </w:r>
      <w:r>
        <w:rPr>
          <w:color w:val="333333"/>
          <w:shd w:val="clear" w:color="auto" w:fill="FCFCFC"/>
        </w:rPr>
        <w:t xml:space="preserve"> </w:t>
      </w:r>
      <w:r>
        <w:rPr>
          <w:b/>
          <w:bCs/>
          <w:color w:val="333333"/>
          <w:shd w:val="clear" w:color="auto" w:fill="FCFCFC"/>
        </w:rPr>
        <w:t xml:space="preserve">37, </w:t>
      </w:r>
      <w:r>
        <w:rPr>
          <w:color w:val="333333"/>
          <w:shd w:val="clear" w:color="auto" w:fill="FCFCFC"/>
        </w:rPr>
        <w:t xml:space="preserve">187 (2020). </w:t>
      </w:r>
      <w:hyperlink r:id="rId10" w:history="1">
        <w:r>
          <w:rPr>
            <w:rStyle w:val="-"/>
            <w:shd w:val="clear" w:color="auto" w:fill="FCFCFC"/>
          </w:rPr>
          <w:t>https://doi.org/10.1007/s11095-020-02894-w</w:t>
        </w:r>
      </w:hyperlink>
      <w:r>
        <w:rPr>
          <w:rStyle w:val="-"/>
          <w:shd w:val="clear" w:color="auto" w:fill="FCFCFC"/>
        </w:rPr>
        <w:t xml:space="preserve"> </w:t>
      </w:r>
      <w:r>
        <w:rPr>
          <w:rStyle w:val="-"/>
          <w:color w:val="000000" w:themeColor="text1"/>
          <w:shd w:val="clear" w:color="auto" w:fill="FCFCFC"/>
        </w:rPr>
        <w:t xml:space="preserve">(cover page of the issue). </w:t>
      </w:r>
      <w:r>
        <w:t xml:space="preserve">Erratum/ </w:t>
      </w:r>
      <w:r>
        <w:rPr>
          <w:i/>
          <w:iCs/>
          <w:color w:val="333333"/>
          <w:shd w:val="clear" w:color="auto" w:fill="FCFCFC"/>
        </w:rPr>
        <w:t>Pharm Res</w:t>
      </w:r>
      <w:r>
        <w:rPr>
          <w:color w:val="333333"/>
          <w:shd w:val="clear" w:color="auto" w:fill="FCFCFC"/>
        </w:rPr>
        <w:t xml:space="preserve"> </w:t>
      </w:r>
      <w:r>
        <w:rPr>
          <w:b/>
          <w:bCs/>
          <w:color w:val="333333"/>
          <w:shd w:val="clear" w:color="auto" w:fill="FCFCFC"/>
        </w:rPr>
        <w:t xml:space="preserve">37, </w:t>
      </w:r>
      <w:r>
        <w:rPr>
          <w:color w:val="333333"/>
          <w:shd w:val="clear" w:color="auto" w:fill="FCFCFC"/>
        </w:rPr>
        <w:t xml:space="preserve">206 (2020). </w:t>
      </w:r>
      <w:hyperlink r:id="rId11" w:history="1">
        <w:r>
          <w:rPr>
            <w:rStyle w:val="-"/>
            <w:shd w:val="clear" w:color="auto" w:fill="FCFCFC"/>
          </w:rPr>
          <w:t>https://doi.org/10.1007/s11095-020-02935-4</w:t>
        </w:r>
      </w:hyperlink>
    </w:p>
    <w:p w:rsidR="00413222" w:rsidRDefault="00413222" w:rsidP="00413222">
      <w:pPr>
        <w:pStyle w:val="Title1"/>
        <w:numPr>
          <w:ilvl w:val="0"/>
          <w:numId w:val="1"/>
        </w:numPr>
        <w:spacing w:before="0" w:beforeAutospacing="0" w:after="240" w:afterAutospacing="0"/>
        <w:ind w:left="540" w:hanging="540"/>
        <w:jc w:val="both"/>
      </w:pPr>
      <w:r>
        <w:rPr>
          <w:color w:val="414042"/>
        </w:rPr>
        <w:t xml:space="preserve">P. CHRYSSAFIDIS, A. A. TSEKOURAS, P. MACHERAS. Revising </w:t>
      </w:r>
      <w:r>
        <w:rPr>
          <w:color w:val="414042"/>
          <w:lang w:eastAsia="el-GR"/>
        </w:rPr>
        <w:t>Pharmacokinetics of Oral Drug Absorption: II Bioavailability-</w:t>
      </w:r>
      <w:r>
        <w:t>Bioequivalence</w:t>
      </w:r>
      <w:r>
        <w:rPr>
          <w:color w:val="414042"/>
        </w:rPr>
        <w:t xml:space="preserve"> </w:t>
      </w:r>
      <w:r>
        <w:rPr>
          <w:color w:val="414042"/>
          <w:lang w:eastAsia="el-GR"/>
        </w:rPr>
        <w:t xml:space="preserve">Considerations, </w:t>
      </w:r>
      <w:hyperlink r:id="rId12" w:history="1">
        <w:r>
          <w:rPr>
            <w:rStyle w:val="-"/>
            <w:i/>
            <w:iCs/>
            <w:color w:val="004B83"/>
            <w:shd w:val="clear" w:color="auto" w:fill="FCFCFC"/>
          </w:rPr>
          <w:t>Pharmaceutical Research</w:t>
        </w:r>
      </w:hyperlink>
      <w:r>
        <w:rPr>
          <w:color w:val="333333"/>
          <w:shd w:val="clear" w:color="auto" w:fill="FCFCFC"/>
        </w:rPr>
        <w:t> </w:t>
      </w:r>
      <w:r>
        <w:rPr>
          <w:bCs/>
          <w:color w:val="333333"/>
          <w:u w:val="single"/>
          <w:shd w:val="clear" w:color="auto" w:fill="FCFCFC"/>
        </w:rPr>
        <w:t>38</w:t>
      </w:r>
      <w:r>
        <w:rPr>
          <w:color w:val="333333"/>
          <w:u w:val="single"/>
          <w:shd w:val="clear" w:color="auto" w:fill="FCFCFC"/>
        </w:rPr>
        <w:t>,</w:t>
      </w:r>
      <w:r>
        <w:rPr>
          <w:color w:val="333333"/>
          <w:shd w:val="clear" w:color="auto" w:fill="FCFCFC"/>
        </w:rPr>
        <w:t xml:space="preserve"> 1345–1356 (2021) </w:t>
      </w:r>
      <w:r>
        <w:rPr>
          <w:color w:val="414042"/>
          <w:shd w:val="clear" w:color="auto" w:fill="FFFFFF"/>
        </w:rPr>
        <w:t>[DOI: </w:t>
      </w:r>
      <w:hyperlink r:id="rId13" w:tgtFrame="_blank" w:tooltip="Αυτή η εξωτερική σύνδεση θα ανοίξει σε ένα νέο παράθυρο" w:history="1">
        <w:r>
          <w:rPr>
            <w:rStyle w:val="-"/>
            <w:color w:val="0071B0"/>
            <w:shd w:val="clear" w:color="auto" w:fill="FFFFFF"/>
          </w:rPr>
          <w:t>10.1007/s11095-021-03078-w</w:t>
        </w:r>
      </w:hyperlink>
      <w:r>
        <w:rPr>
          <w:color w:val="414042"/>
          <w:shd w:val="clear" w:color="auto" w:fill="FFFFFF"/>
        </w:rPr>
        <w:t>]</w:t>
      </w:r>
    </w:p>
    <w:p w:rsidR="00413222" w:rsidRDefault="00413222" w:rsidP="00413222">
      <w:pPr>
        <w:pStyle w:val="Title1"/>
        <w:numPr>
          <w:ilvl w:val="0"/>
          <w:numId w:val="1"/>
        </w:numPr>
        <w:spacing w:before="0" w:beforeAutospacing="0" w:after="240" w:afterAutospacing="0"/>
        <w:ind w:left="540" w:hanging="540"/>
        <w:jc w:val="both"/>
        <w:rPr>
          <w:color w:val="000000" w:themeColor="text1"/>
          <w:u w:val="single"/>
        </w:rPr>
      </w:pPr>
      <w:r>
        <w:rPr>
          <w:color w:val="414042"/>
        </w:rPr>
        <w:t xml:space="preserve">A. A. TSEKOURAS, P. </w:t>
      </w:r>
      <w:r>
        <w:t>MACHERAS</w:t>
      </w:r>
      <w:r>
        <w:rPr>
          <w:color w:val="414042"/>
        </w:rPr>
        <w:t>.</w:t>
      </w:r>
      <w:r>
        <w:rPr>
          <w:color w:val="000000" w:themeColor="text1"/>
          <w:lang w:eastAsia="el-GR"/>
        </w:rPr>
        <w:t xml:space="preserve"> Re-examining digoxin bioavailability after half a century: </w:t>
      </w:r>
      <w:r>
        <w:rPr>
          <w:color w:val="414042"/>
          <w:lang w:eastAsia="el-GR"/>
        </w:rPr>
        <w:t>Time for changes in the bioavailability concepts</w:t>
      </w:r>
      <w:r>
        <w:rPr>
          <w:i/>
          <w:iCs/>
          <w:color w:val="414042"/>
          <w:shd w:val="clear" w:color="auto" w:fill="FFFFFF"/>
        </w:rPr>
        <w:t xml:space="preserve">. </w:t>
      </w:r>
      <w:hyperlink r:id="rId14" w:history="1">
        <w:r>
          <w:rPr>
            <w:rStyle w:val="-"/>
            <w:i/>
            <w:iCs/>
            <w:color w:val="004B83"/>
            <w:shd w:val="clear" w:color="auto" w:fill="FCFCFC"/>
          </w:rPr>
          <w:t>Pharmaceutical Research</w:t>
        </w:r>
      </w:hyperlink>
      <w:r>
        <w:rPr>
          <w:color w:val="333333"/>
          <w:shd w:val="clear" w:color="auto" w:fill="FCFCFC"/>
        </w:rPr>
        <w:t> </w:t>
      </w:r>
      <w:r>
        <w:rPr>
          <w:b/>
          <w:bCs/>
          <w:color w:val="333333"/>
          <w:shd w:val="clear" w:color="auto" w:fill="FCFCFC"/>
        </w:rPr>
        <w:t> </w:t>
      </w:r>
      <w:r>
        <w:rPr>
          <w:color w:val="414042"/>
          <w:shd w:val="clear" w:color="auto" w:fill="FFFFFF"/>
        </w:rPr>
        <w:t>(2021)</w:t>
      </w:r>
      <w:r>
        <w:rPr>
          <w:color w:val="414042"/>
        </w:rPr>
        <w:t xml:space="preserve"> </w:t>
      </w:r>
      <w:r>
        <w:rPr>
          <w:color w:val="414042"/>
          <w:shd w:val="clear" w:color="auto" w:fill="FFFFFF"/>
        </w:rPr>
        <w:t>[DOI: </w:t>
      </w:r>
      <w:hyperlink r:id="rId15" w:tgtFrame="_blank" w:tooltip="Αυτή η εξωτερική σύνδεση θα ανοίξει σε ένα νέο παράθυρο" w:history="1">
        <w:r>
          <w:rPr>
            <w:rStyle w:val="-"/>
            <w:color w:val="0071B0"/>
            <w:shd w:val="clear" w:color="auto" w:fill="FFFFFF"/>
          </w:rPr>
          <w:t>10.1007/s11095-021-03121-w</w:t>
        </w:r>
      </w:hyperlink>
      <w:r>
        <w:rPr>
          <w:color w:val="414042"/>
          <w:shd w:val="clear" w:color="auto" w:fill="FFFFFF"/>
        </w:rPr>
        <w:t>]</w:t>
      </w:r>
    </w:p>
    <w:p w:rsidR="00413222" w:rsidRDefault="00413222" w:rsidP="00413222">
      <w:pPr>
        <w:pStyle w:val="Title1"/>
        <w:numPr>
          <w:ilvl w:val="0"/>
          <w:numId w:val="1"/>
        </w:numPr>
        <w:spacing w:before="0" w:beforeAutospacing="0" w:after="240" w:afterAutospacing="0"/>
        <w:ind w:left="540" w:hanging="540"/>
        <w:jc w:val="both"/>
        <w:rPr>
          <w:color w:val="000000" w:themeColor="text1"/>
          <w:u w:val="single"/>
        </w:rPr>
      </w:pPr>
      <w:r>
        <w:rPr>
          <w:color w:val="414042"/>
        </w:rPr>
        <w:t>P. CHRYSSAFIDIS, A. A. TSEKOURAS, P. MACHERAS</w:t>
      </w:r>
      <w:r>
        <w:rPr>
          <w:noProof/>
        </w:rPr>
        <w:t xml:space="preserve"> </w:t>
      </w:r>
      <w:r>
        <w:t xml:space="preserve">Re-writing oral pharmacokinetics using physiologically based finite time pharmacokinetic (PBFTPK) models. </w:t>
      </w:r>
      <w:hyperlink r:id="rId16" w:history="1">
        <w:r>
          <w:rPr>
            <w:rStyle w:val="-"/>
            <w:i/>
            <w:iCs/>
            <w:color w:val="004B83"/>
            <w:shd w:val="clear" w:color="auto" w:fill="FCFCFC"/>
          </w:rPr>
          <w:t>Pharmaceutical Research</w:t>
        </w:r>
      </w:hyperlink>
      <w:r>
        <w:rPr>
          <w:color w:val="333333"/>
          <w:shd w:val="clear" w:color="auto" w:fill="FCFCFC"/>
        </w:rPr>
        <w:t> </w:t>
      </w:r>
      <w:r>
        <w:t>. 2022</w:t>
      </w:r>
      <w:proofErr w:type="gramStart"/>
      <w:r>
        <w:t>;39</w:t>
      </w:r>
      <w:proofErr w:type="gramEnd"/>
      <w:r>
        <w:t xml:space="preserve">:. </w:t>
      </w:r>
      <w:hyperlink r:id="rId17" w:history="1">
        <w:r>
          <w:rPr>
            <w:rStyle w:val="-"/>
          </w:rPr>
          <w:t>https://doi.org/10.1007/s11095-022-03230-0</w:t>
        </w:r>
      </w:hyperlink>
      <w:r>
        <w:t>.</w:t>
      </w:r>
    </w:p>
    <w:p w:rsidR="00413222" w:rsidRDefault="00413222" w:rsidP="00413222">
      <w:pPr>
        <w:pStyle w:val="Title1"/>
        <w:numPr>
          <w:ilvl w:val="0"/>
          <w:numId w:val="1"/>
        </w:numPr>
        <w:spacing w:before="0" w:beforeAutospacing="0" w:after="240" w:afterAutospacing="0"/>
        <w:ind w:left="540" w:hanging="540"/>
        <w:jc w:val="both"/>
        <w:rPr>
          <w:color w:val="000000" w:themeColor="text1"/>
          <w:u w:val="single"/>
        </w:rPr>
      </w:pPr>
      <w:r>
        <w:rPr>
          <w:color w:val="414042"/>
          <w:lang w:val="el-GR"/>
        </w:rPr>
        <w:t>Ν</w:t>
      </w:r>
      <w:r>
        <w:rPr>
          <w:color w:val="414042"/>
        </w:rPr>
        <w:t>. ALIMPERTIS, A. A. TSEKOURAS, P. MACHERAS</w:t>
      </w:r>
      <w:r>
        <w:t xml:space="preserve"> Revising the assessment of bioequivalence in the light of finite absorption time (FAT) concept: The </w:t>
      </w:r>
      <w:proofErr w:type="spellStart"/>
      <w:r>
        <w:t>axitinib</w:t>
      </w:r>
      <w:proofErr w:type="spellEnd"/>
      <w:r>
        <w:t xml:space="preserve"> case.  Submitted to 30</w:t>
      </w:r>
      <w:r>
        <w:rPr>
          <w:vertAlign w:val="superscript"/>
        </w:rPr>
        <w:t>th</w:t>
      </w:r>
      <w:r>
        <w:t xml:space="preserve"> PAGE meeting Ljubljana 28 June-1 July , 2022</w:t>
      </w:r>
    </w:p>
    <w:p w:rsidR="00413222" w:rsidRDefault="00413222" w:rsidP="00413222">
      <w:pPr>
        <w:pStyle w:val="Title1"/>
        <w:numPr>
          <w:ilvl w:val="0"/>
          <w:numId w:val="1"/>
        </w:numPr>
        <w:spacing w:before="0" w:beforeAutospacing="0" w:after="240" w:afterAutospacing="0"/>
        <w:ind w:left="540" w:hanging="540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D. </w:t>
      </w:r>
      <w:r>
        <w:t xml:space="preserve">WU, </w:t>
      </w:r>
      <w:r>
        <w:rPr>
          <w:color w:val="414042"/>
        </w:rPr>
        <w:t xml:space="preserve">A. A. TSEKOURAS, P. MACHERAS, </w:t>
      </w:r>
      <w:r>
        <w:t xml:space="preserve">F. KESISOGLOU. </w:t>
      </w:r>
      <w:r>
        <w:rPr>
          <w:lang w:eastAsia="el-GR"/>
        </w:rPr>
        <w:t>Physiologically based pharmacokinetic models under the prism of the finite absorption time concept. Pharmaceutical Research. (</w:t>
      </w:r>
      <w:r>
        <w:rPr>
          <w:i/>
          <w:lang w:eastAsia="el-GR"/>
        </w:rPr>
        <w:t>Submitted</w:t>
      </w:r>
      <w:r>
        <w:rPr>
          <w:lang w:eastAsia="el-GR"/>
        </w:rPr>
        <w:t>)</w:t>
      </w:r>
    </w:p>
    <w:p w:rsidR="00413222" w:rsidRDefault="00413222" w:rsidP="00413222">
      <w:pPr>
        <w:pStyle w:val="Title1"/>
        <w:numPr>
          <w:ilvl w:val="0"/>
          <w:numId w:val="1"/>
        </w:numPr>
        <w:spacing w:before="0" w:beforeAutospacing="0" w:after="240" w:afterAutospacing="0"/>
        <w:ind w:left="540" w:hanging="540"/>
        <w:jc w:val="both"/>
        <w:rPr>
          <w:color w:val="000000" w:themeColor="text1"/>
          <w:u w:val="single"/>
        </w:rPr>
      </w:pPr>
      <w:r>
        <w:rPr>
          <w:color w:val="414042"/>
        </w:rPr>
        <w:t xml:space="preserve">A. A. TSEKOURAS, P. MACHERAS. </w:t>
      </w:r>
      <w:r>
        <w:rPr>
          <w:color w:val="414042"/>
          <w:lang w:eastAsia="el-GR"/>
        </w:rPr>
        <w:t xml:space="preserve">Columbus' egg: Oral drugs are absorbed in finite time. </w:t>
      </w:r>
      <w:r>
        <w:rPr>
          <w:lang w:eastAsia="el-GR"/>
        </w:rPr>
        <w:t xml:space="preserve"> (</w:t>
      </w:r>
      <w:r>
        <w:rPr>
          <w:i/>
          <w:lang w:eastAsia="el-GR"/>
        </w:rPr>
        <w:t>Submitted</w:t>
      </w:r>
      <w:r>
        <w:rPr>
          <w:lang w:eastAsia="el-GR"/>
        </w:rPr>
        <w:t>)</w:t>
      </w:r>
    </w:p>
    <w:p w:rsidR="00413222" w:rsidRDefault="00413222" w:rsidP="00413222">
      <w:pPr>
        <w:rPr>
          <w:rFonts w:ascii="Times New Roman" w:hAnsi="Times New Roman" w:cs="Times New Roman"/>
          <w:sz w:val="24"/>
          <w:szCs w:val="24"/>
        </w:rPr>
      </w:pPr>
    </w:p>
    <w:p w:rsidR="00413222" w:rsidRPr="00413222" w:rsidRDefault="00413222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1B0"/>
          <w:sz w:val="24"/>
          <w:szCs w:val="24"/>
          <w:lang w:val="en-US" w:eastAsia="el-GR"/>
        </w:rPr>
      </w:pPr>
      <w:bookmarkStart w:id="0" w:name="_GoBack"/>
      <w:bookmarkEnd w:id="0"/>
    </w:p>
    <w:p w:rsidR="00413222" w:rsidRPr="00413222" w:rsidRDefault="00413222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val="en-US" w:eastAsia="el-GR"/>
        </w:rPr>
      </w:pPr>
    </w:p>
    <w:p w:rsidR="004D0109" w:rsidRDefault="004D0109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:rsidR="004D0109" w:rsidRDefault="004D0109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:rsidR="004D0109" w:rsidRPr="00413222" w:rsidRDefault="004D0109" w:rsidP="00A60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el-GR"/>
        </w:rPr>
      </w:pPr>
    </w:p>
    <w:p w:rsidR="00CB7B2E" w:rsidRPr="00413222" w:rsidRDefault="00CB7B2E" w:rsidP="00A604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7B2E" w:rsidRPr="004132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5807"/>
    <w:multiLevelType w:val="hybridMultilevel"/>
    <w:tmpl w:val="9232FE6C"/>
    <w:lvl w:ilvl="0" w:tplc="2B048120">
      <w:start w:val="1"/>
      <w:numFmt w:val="decimal"/>
      <w:lvlText w:val="%1."/>
      <w:lvlJc w:val="center"/>
      <w:pPr>
        <w:tabs>
          <w:tab w:val="num" w:pos="153"/>
        </w:tabs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B650C16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14"/>
    <w:rsid w:val="00413222"/>
    <w:rsid w:val="004D0109"/>
    <w:rsid w:val="00A60414"/>
    <w:rsid w:val="00CB7B2E"/>
    <w:rsid w:val="00E2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A604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semiHidden/>
    <w:unhideWhenUsed/>
    <w:qFormat/>
    <w:rsid w:val="00A604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A60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6041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A6041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semiHidden/>
    <w:rsid w:val="00A60414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basedOn w:val="a0"/>
    <w:link w:val="4"/>
    <w:semiHidden/>
    <w:rsid w:val="00A6041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A6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0414"/>
    <w:rPr>
      <w:rFonts w:ascii="Tahoma" w:hAnsi="Tahoma" w:cs="Tahoma"/>
      <w:sz w:val="16"/>
      <w:szCs w:val="16"/>
    </w:rPr>
  </w:style>
  <w:style w:type="paragraph" w:customStyle="1" w:styleId="Title1">
    <w:name w:val="Title1"/>
    <w:basedOn w:val="a"/>
    <w:rsid w:val="0041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A604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semiHidden/>
    <w:unhideWhenUsed/>
    <w:qFormat/>
    <w:rsid w:val="00A604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A60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6041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A6041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semiHidden/>
    <w:rsid w:val="00A60414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basedOn w:val="a0"/>
    <w:link w:val="4"/>
    <w:semiHidden/>
    <w:rsid w:val="00A6041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A6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0414"/>
    <w:rPr>
      <w:rFonts w:ascii="Tahoma" w:hAnsi="Tahoma" w:cs="Tahoma"/>
      <w:sz w:val="16"/>
      <w:szCs w:val="16"/>
    </w:rPr>
  </w:style>
  <w:style w:type="paragraph" w:customStyle="1" w:styleId="Title1">
    <w:name w:val="Title1"/>
    <w:basedOn w:val="a"/>
    <w:rsid w:val="0041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afea/16-22-24-2019-save-the-date-264381" TargetMode="External"/><Relationship Id="rId13" Type="http://schemas.openxmlformats.org/officeDocument/2006/relationships/hyperlink" Target="http://dx.doi.org/10.1007/s11095-021-03078-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cheras@pharm.uoa.gr" TargetMode="External"/><Relationship Id="rId12" Type="http://schemas.openxmlformats.org/officeDocument/2006/relationships/hyperlink" Target="https://link.springer.com/journal/11095" TargetMode="External"/><Relationship Id="rId17" Type="http://schemas.openxmlformats.org/officeDocument/2006/relationships/hyperlink" Target="https://doi.org/10.1007/s11095-022-03230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journal/1109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i.org/10.1007/s11095-020-02935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07/s11095-021-03121-w" TargetMode="External"/><Relationship Id="rId10" Type="http://schemas.openxmlformats.org/officeDocument/2006/relationships/hyperlink" Target="https://doi.org/10.1007/s11095-020-02894-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11095-019-2633-4" TargetMode="External"/><Relationship Id="rId14" Type="http://schemas.openxmlformats.org/officeDocument/2006/relationships/hyperlink" Target="https://link.springer.com/journal/1109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1983</dc:creator>
  <cp:lastModifiedBy>Spiros 1983</cp:lastModifiedBy>
  <cp:revision>3</cp:revision>
  <dcterms:created xsi:type="dcterms:W3CDTF">2022-05-11T06:23:00Z</dcterms:created>
  <dcterms:modified xsi:type="dcterms:W3CDTF">2022-05-11T06:52:00Z</dcterms:modified>
</cp:coreProperties>
</file>